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right"/>
        <w:rPr>
          <w:b w:val="1"/>
        </w:rPr>
      </w:pPr>
      <w:r w:rsidDel="00000000" w:rsidR="00000000" w:rsidRPr="00000000">
        <w:rPr>
          <w:b w:val="1"/>
          <w:rtl w:val="0"/>
        </w:rPr>
        <w:t xml:space="preserve">RÉSOLUTION</w:t>
      </w:r>
    </w:p>
    <w:p w:rsidR="00000000" w:rsidDel="00000000" w:rsidP="00000000" w:rsidRDefault="00000000" w:rsidRPr="00000000" w14:paraId="00000004">
      <w:pPr>
        <w:jc w:val="right"/>
        <w:rPr>
          <w:b w:val="1"/>
        </w:rPr>
      </w:pPr>
      <w:r w:rsidDel="00000000" w:rsidR="00000000" w:rsidRPr="00000000">
        <w:rPr>
          <w:b w:val="1"/>
          <w:rtl w:val="0"/>
        </w:rPr>
        <w:t xml:space="preserve">Données sur les prélèvements d’eau</w:t>
      </w:r>
    </w:p>
    <w:p w:rsidR="00000000" w:rsidDel="00000000" w:rsidP="00000000" w:rsidRDefault="00000000" w:rsidRPr="00000000" w14:paraId="00000005">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CONSIDÉRANT QUE </w:t>
      </w:r>
      <w:r w:rsidDel="00000000" w:rsidR="00000000" w:rsidRPr="00000000">
        <w:rPr>
          <w:rtl w:val="0"/>
        </w:rPr>
        <w:t xml:space="preserve">les données relatives aux prélèvements d’eau au Québec sont actuellement maintenues secrètes</w:t>
      </w:r>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CONSIDÉRANT QUE </w:t>
      </w:r>
      <w:r w:rsidDel="00000000" w:rsidR="00000000" w:rsidRPr="00000000">
        <w:rPr>
          <w:rtl w:val="0"/>
        </w:rPr>
        <w:t xml:space="preserve">l’eau est une </w:t>
      </w:r>
      <w:r w:rsidDel="00000000" w:rsidR="00000000" w:rsidRPr="00000000">
        <w:rPr>
          <w:rtl w:val="0"/>
        </w:rPr>
        <w:t xml:space="preserve">ressource</w:t>
      </w:r>
      <w:r w:rsidDel="00000000" w:rsidR="00000000" w:rsidRPr="00000000">
        <w:rPr>
          <w:rtl w:val="0"/>
        </w:rPr>
        <w:t xml:space="preserve"> vulnérable et épuisable, selon la </w:t>
      </w:r>
      <w:r w:rsidDel="00000000" w:rsidR="00000000" w:rsidRPr="00000000">
        <w:rPr>
          <w:i w:val="1"/>
          <w:rtl w:val="0"/>
        </w:rPr>
        <w:t xml:space="preserve">Loi affirmant le caractère collectif des ressources en eau et favorisant une meilleure gouvernance de l'eau et des milieux associés </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CONSIDÉRANT QUE </w:t>
      </w:r>
      <w:r w:rsidDel="00000000" w:rsidR="00000000" w:rsidRPr="00000000">
        <w:rPr>
          <w:rtl w:val="0"/>
        </w:rPr>
        <w:t xml:space="preserve">la gestion durable de l’eau au Québec repose sur une approche intégrée et participative qui ne peut être mise en œuvre de manière efficace sans l’accès du public et des municipalités à l’ensemble des informations relatives aux </w:t>
      </w:r>
      <w:r w:rsidDel="00000000" w:rsidR="00000000" w:rsidRPr="00000000">
        <w:rPr>
          <w:rtl w:val="0"/>
        </w:rPr>
        <w:t xml:space="preserve">prélèvements</w:t>
      </w:r>
      <w:r w:rsidDel="00000000" w:rsidR="00000000" w:rsidRPr="00000000">
        <w:rPr>
          <w:rtl w:val="0"/>
        </w:rPr>
        <w:t xml:space="preserve"> d’eau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CONSIDÉRANT QUE</w:t>
      </w:r>
      <w:r w:rsidDel="00000000" w:rsidR="00000000" w:rsidRPr="00000000">
        <w:rPr>
          <w:rtl w:val="0"/>
        </w:rPr>
        <w:t xml:space="preserve"> sans une gestion durable de la ressource hydrique, l’avenir de cette ressource est </w:t>
      </w:r>
      <w:r w:rsidDel="00000000" w:rsidR="00000000" w:rsidRPr="00000000">
        <w:rPr>
          <w:rtl w:val="0"/>
        </w:rPr>
        <w:t xml:space="preserve">menacé ;</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CONSIDÉRANT QUE </w:t>
      </w:r>
      <w:r w:rsidDel="00000000" w:rsidR="00000000" w:rsidRPr="00000000">
        <w:rPr>
          <w:rtl w:val="0"/>
        </w:rPr>
        <w:t xml:space="preserve">les municipalités régionales de comté (MRC) et les municipalités locales ont besoin des données relatives aux volumes d’eau prélevés au Québec afin d’assurer une gestion durable de l’eau et une planification cohérente du territoire qui tiennent compte des effets cumulatifs réels de ces prélève</w:t>
      </w:r>
      <w:r w:rsidDel="00000000" w:rsidR="00000000" w:rsidRPr="00000000">
        <w:rPr>
          <w:rtl w:val="0"/>
        </w:rPr>
        <w:t xml:space="preserve">ments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CONSIDÉRANT</w:t>
      </w:r>
      <w:r w:rsidDel="00000000" w:rsidR="00000000" w:rsidRPr="00000000">
        <w:rPr>
          <w:rtl w:val="0"/>
        </w:rPr>
        <w:t xml:space="preserve"> la </w:t>
      </w:r>
      <w:hyperlink r:id="rId6">
        <w:r w:rsidDel="00000000" w:rsidR="00000000" w:rsidRPr="00000000">
          <w:rPr>
            <w:color w:val="1155cc"/>
            <w:u w:val="single"/>
            <w:rtl w:val="0"/>
          </w:rPr>
          <w:t xml:space="preserve">motion adoptée à l’unanimité par l’Assemblée nationale</w:t>
        </w:r>
      </w:hyperlink>
      <w:r w:rsidDel="00000000" w:rsidR="00000000" w:rsidRPr="00000000">
        <w:rPr>
          <w:rtl w:val="0"/>
        </w:rPr>
        <w:t xml:space="preserve"> le 1er juin 2022 reconnaissant qu’«une modification législative doit être considérée» et qu’il est demandé «au gouvernement d’évaluer la possibilité de modifier le cadre juridique afin que les quantités d’eau prélevées aient un caractère public»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CONSIDÉRANT </w:t>
      </w:r>
      <w:r w:rsidDel="00000000" w:rsidR="00000000" w:rsidRPr="00000000">
        <w:rPr>
          <w:rtl w:val="0"/>
        </w:rPr>
        <w:t xml:space="preserve">le </w:t>
      </w:r>
      <w:hyperlink r:id="rId7">
        <w:r w:rsidDel="00000000" w:rsidR="00000000" w:rsidRPr="00000000">
          <w:rPr>
            <w:color w:val="1155cc"/>
            <w:u w:val="single"/>
            <w:rtl w:val="0"/>
          </w:rPr>
          <w:t xml:space="preserve">dépôt du projet de loi numéro 42</w:t>
        </w:r>
      </w:hyperlink>
      <w:r w:rsidDel="00000000" w:rsidR="00000000" w:rsidRPr="00000000">
        <w:rPr>
          <w:rtl w:val="0"/>
        </w:rPr>
        <w:t xml:space="preserve"> visant principalement à s’assurer de la révision des redevances exigibles pour l’utilisation de l’eau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Il est proposé par </w:t>
      </w:r>
      <w:r w:rsidDel="00000000" w:rsidR="00000000" w:rsidRPr="00000000">
        <w:rPr>
          <w:rtl w:val="0"/>
        </w:rPr>
        <w:t xml:space="preserve">__________</w:t>
      </w:r>
      <w:r w:rsidDel="00000000" w:rsidR="00000000" w:rsidRPr="00000000">
        <w:rPr>
          <w:b w:val="1"/>
          <w:rtl w:val="0"/>
        </w:rPr>
        <w:t xml:space="preserve"> appuyé par </w:t>
      </w:r>
      <w:r w:rsidDel="00000000" w:rsidR="00000000" w:rsidRPr="00000000">
        <w:rPr>
          <w:rtl w:val="0"/>
        </w:rPr>
        <w:t xml:space="preserve">__________</w:t>
      </w:r>
      <w:r w:rsidDel="00000000" w:rsidR="00000000" w:rsidRPr="00000000">
        <w:rPr>
          <w:b w:val="1"/>
          <w:rtl w:val="0"/>
        </w:rPr>
        <w:t xml:space="preserve"> et résolu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DE DEMANDER </w:t>
      </w:r>
      <w:r w:rsidDel="00000000" w:rsidR="00000000" w:rsidRPr="00000000">
        <w:rPr>
          <w:rtl w:val="0"/>
        </w:rPr>
        <w:t xml:space="preserve">à l'Assemblée nationale et </w:t>
      </w:r>
      <w:r w:rsidDel="00000000" w:rsidR="00000000" w:rsidRPr="00000000">
        <w:rPr>
          <w:rtl w:val="0"/>
        </w:rPr>
        <w:t xml:space="preserve">au gouvernement du Québec de prioriser une gestion durable et transparente de l’eau en modifiant le cadre juridique de manière à conférer explicitement un caractère public aux données relatives à tous les prélèvements d’eau déclarés au ministère de l'Environnement et de la Lutte contre les changements climatiques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DE DEMANDER </w:t>
      </w:r>
      <w:r w:rsidDel="00000000" w:rsidR="00000000" w:rsidRPr="00000000">
        <w:rPr>
          <w:rtl w:val="0"/>
        </w:rPr>
        <w:t xml:space="preserve">à la Fédération québécoise des municipalités (FQM) et à l’Union des municipalités du Québec (UMQ) d’adopter leurs propres résolutions au même effet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DE DEMANDER </w:t>
      </w:r>
      <w:r w:rsidDel="00000000" w:rsidR="00000000" w:rsidRPr="00000000">
        <w:rPr>
          <w:rtl w:val="0"/>
        </w:rPr>
        <w:t xml:space="preserve">aux MRC et aux municipalités du Québec d’adopter leurs propres résolutions au même effet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DE TRANSMETTRE </w:t>
      </w:r>
      <w:r w:rsidDel="00000000" w:rsidR="00000000" w:rsidRPr="00000000">
        <w:rPr>
          <w:rtl w:val="0"/>
        </w:rPr>
        <w:t xml:space="preserve">une copie de la présente résolution au </w:t>
      </w:r>
      <w:r w:rsidDel="00000000" w:rsidR="00000000" w:rsidRPr="00000000">
        <w:rPr>
          <w:rtl w:val="0"/>
        </w:rPr>
        <w:t xml:space="preserve">ministre de l’Environnement et de la Lutte contre les changements climatiques, au ministère des Affaires municipales et de l'Habitation, à la FQM et à l’UMQ</w:t>
      </w:r>
      <w:r w:rsidDel="00000000" w:rsidR="00000000" w:rsidRPr="00000000">
        <w:rPr>
          <w:rtl w:val="0"/>
        </w:rPr>
        <w:t xml:space="preserve">.</w:t>
      </w:r>
      <w:r w:rsidDel="00000000" w:rsidR="00000000" w:rsidRPr="00000000">
        <w:rPr>
          <w:rtl w:val="0"/>
        </w:rPr>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2"/>
      <w:szCs w:val="32"/>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qde.org/wp-content/uploads/2022/08/motion_01062022_assemble_nationale_donnes_eau.jpg" TargetMode="External"/><Relationship Id="rId7" Type="http://schemas.openxmlformats.org/officeDocument/2006/relationships/hyperlink" Target="http://www.assnat.qc.ca/fr/travaux-parlementaires/projets-loi/projet-loi-42-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